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6456" w:rsidRPr="00B70644" w:rsidRDefault="00B70644">
      <w:pPr>
        <w:pStyle w:val="Titel"/>
        <w:keepNext w:val="0"/>
        <w:keepLines w:val="0"/>
        <w:tabs>
          <w:tab w:val="left" w:pos="850"/>
        </w:tabs>
        <w:spacing w:before="840" w:after="600" w:line="240" w:lineRule="auto"/>
        <w:rPr>
          <w:b/>
          <w:bCs/>
          <w:color w:val="002355"/>
          <w:sz w:val="60"/>
          <w:szCs w:val="60"/>
          <w:lang w:val="en-US"/>
        </w:rPr>
      </w:pPr>
      <w:bookmarkStart w:id="0" w:name="_gjdgxs" w:colFirst="0" w:colLast="0"/>
      <w:bookmarkEnd w:id="0"/>
      <w:r w:rsidRPr="00B70644">
        <w:rPr>
          <w:b/>
          <w:bCs/>
          <w:color w:val="002355"/>
          <w:sz w:val="60"/>
          <w:szCs w:val="60"/>
          <w:lang w:val="en-US"/>
        </w:rPr>
        <w:t>Press Release</w:t>
      </w:r>
    </w:p>
    <w:p w:rsidR="00D56456" w:rsidRPr="00B70644" w:rsidRDefault="00B70644">
      <w:pPr>
        <w:pStyle w:val="berschrift1"/>
        <w:spacing w:before="240"/>
        <w:rPr>
          <w:lang w:val="en-US"/>
        </w:rPr>
      </w:pPr>
      <w:bookmarkStart w:id="1" w:name="_8dc17rpedp3q" w:colFirst="0" w:colLast="0"/>
      <w:bookmarkEnd w:id="1"/>
      <w:r w:rsidRPr="00B70644">
        <w:rPr>
          <w:lang w:val="en-US"/>
        </w:rPr>
        <w:t>Pinpoint accuracy in 2025 and a strong start to 2026: Koenig &amp; Bauer achieves annual targets, increases order intake in the first quarter and enters a new era with "IMPACT"</w:t>
      </w:r>
    </w:p>
    <w:p w:rsidR="00D56456" w:rsidRPr="00B70644" w:rsidRDefault="00D56456">
      <w:pPr>
        <w:spacing w:after="0"/>
        <w:rPr>
          <w:lang w:val="en-US"/>
        </w:rPr>
      </w:pPr>
    </w:p>
    <w:p w:rsidR="00D56456" w:rsidRPr="00B70644" w:rsidRDefault="00B70644">
      <w:pPr>
        <w:numPr>
          <w:ilvl w:val="0"/>
          <w:numId w:val="2"/>
        </w:numPr>
        <w:spacing w:after="0"/>
        <w:rPr>
          <w:rFonts w:ascii="Times New Roman" w:eastAsia="Times New Roman" w:hAnsi="Times New Roman" w:cs="Times New Roman"/>
          <w:lang w:val="en-US"/>
        </w:rPr>
      </w:pPr>
      <w:r w:rsidRPr="00B70644">
        <w:rPr>
          <w:lang w:val="en-US"/>
        </w:rPr>
        <w:t>Revenue grows as planned to around €1.3bn with a significantly improved operating EBIT of €36.6m (previous year: €15.3m) – Operating EBIT margin rises to 2.8%</w:t>
      </w:r>
    </w:p>
    <w:p w:rsidR="00D56456" w:rsidRPr="00B70644" w:rsidRDefault="00B70644">
      <w:pPr>
        <w:numPr>
          <w:ilvl w:val="0"/>
          <w:numId w:val="2"/>
        </w:numPr>
        <w:spacing w:after="0"/>
        <w:rPr>
          <w:rFonts w:ascii="Times New Roman" w:eastAsia="Times New Roman" w:hAnsi="Times New Roman" w:cs="Times New Roman"/>
          <w:lang w:val="en-US"/>
        </w:rPr>
      </w:pPr>
      <w:r w:rsidRPr="00B70644">
        <w:rPr>
          <w:lang w:val="en-US"/>
        </w:rPr>
        <w:t>Positive free cash flow of €7.2m for the year as a whole – strong cash inflows in the final quart</w:t>
      </w:r>
      <w:r w:rsidRPr="00B70644">
        <w:rPr>
          <w:lang w:val="en-US"/>
        </w:rPr>
        <w:t>er</w:t>
      </w:r>
    </w:p>
    <w:p w:rsidR="00D56456" w:rsidRPr="00B70644" w:rsidRDefault="00B70644">
      <w:pPr>
        <w:numPr>
          <w:ilvl w:val="0"/>
          <w:numId w:val="2"/>
        </w:numPr>
        <w:spacing w:after="0"/>
        <w:rPr>
          <w:rFonts w:ascii="Times New Roman" w:eastAsia="Times New Roman" w:hAnsi="Times New Roman" w:cs="Times New Roman"/>
          <w:lang w:val="en-US"/>
        </w:rPr>
      </w:pPr>
      <w:r w:rsidRPr="00B70644">
        <w:rPr>
          <w:lang w:val="en-US"/>
        </w:rPr>
        <w:t>Successful segment performance: Significant increase in profitability at Paper &amp; Packaging (P&amp;P) and operational turnaround at Special &amp; New Technologies (S&amp;T)</w:t>
      </w:r>
    </w:p>
    <w:p w:rsidR="00D56456" w:rsidRPr="00B70644" w:rsidRDefault="00B70644">
      <w:pPr>
        <w:numPr>
          <w:ilvl w:val="0"/>
          <w:numId w:val="2"/>
        </w:numPr>
        <w:spacing w:after="0"/>
        <w:rPr>
          <w:rFonts w:ascii="Times New Roman" w:eastAsia="Times New Roman" w:hAnsi="Times New Roman" w:cs="Times New Roman"/>
          <w:lang w:val="en-US"/>
        </w:rPr>
      </w:pPr>
      <w:r w:rsidRPr="00B70644">
        <w:rPr>
          <w:lang w:val="en-US"/>
        </w:rPr>
        <w:t xml:space="preserve">Strategic framework "IMPACT" realigns the Group for the coming decade: Medium-term strategic </w:t>
      </w:r>
      <w:r w:rsidRPr="00B70644">
        <w:rPr>
          <w:lang w:val="en-US"/>
        </w:rPr>
        <w:t>revenue potential of €1.5bn with an operating EBITDA margin of at least 8%</w:t>
      </w:r>
    </w:p>
    <w:p w:rsidR="00D56456" w:rsidRPr="00B70644" w:rsidRDefault="00B70644">
      <w:pPr>
        <w:numPr>
          <w:ilvl w:val="0"/>
          <w:numId w:val="2"/>
        </w:numPr>
        <w:spacing w:after="0"/>
        <w:rPr>
          <w:rFonts w:ascii="Times New Roman" w:eastAsia="Times New Roman" w:hAnsi="Times New Roman" w:cs="Times New Roman"/>
          <w:lang w:val="en-US"/>
        </w:rPr>
      </w:pPr>
      <w:r w:rsidRPr="00B70644">
        <w:rPr>
          <w:lang w:val="en-US"/>
        </w:rPr>
        <w:t>Strong start to the year underlines resilience: Solid order backlog and a higher order intake in the first quarter of 2026 compared to the previous year secure target achievement</w:t>
      </w:r>
    </w:p>
    <w:p w:rsidR="00D56456" w:rsidRPr="00B70644" w:rsidRDefault="00B70644">
      <w:pPr>
        <w:numPr>
          <w:ilvl w:val="0"/>
          <w:numId w:val="2"/>
        </w:numPr>
        <w:spacing w:after="0"/>
        <w:rPr>
          <w:rFonts w:ascii="Times New Roman" w:eastAsia="Times New Roman" w:hAnsi="Times New Roman" w:cs="Times New Roman"/>
          <w:lang w:val="en-US"/>
        </w:rPr>
      </w:pPr>
      <w:r w:rsidRPr="00B70644">
        <w:rPr>
          <w:lang w:val="en-US"/>
        </w:rPr>
        <w:t>Ou</w:t>
      </w:r>
      <w:r w:rsidRPr="00B70644">
        <w:rPr>
          <w:lang w:val="en-US"/>
        </w:rPr>
        <w:t>tlook for 2026: Stable business performance expected with Group revenue at the previous year's level – Guidance shifted to an operating EBITDA of approximately €80m going forward</w:t>
      </w:r>
    </w:p>
    <w:p w:rsidR="00D56456" w:rsidRPr="00B70644" w:rsidRDefault="00D56456">
      <w:pPr>
        <w:pStyle w:val="berschrift3"/>
        <w:rPr>
          <w:sz w:val="40"/>
          <w:szCs w:val="40"/>
          <w:lang w:val="en-US"/>
        </w:rPr>
      </w:pPr>
      <w:bookmarkStart w:id="2" w:name="_3znysh7" w:colFirst="0" w:colLast="0"/>
      <w:bookmarkEnd w:id="2"/>
    </w:p>
    <w:p w:rsidR="00D56456" w:rsidRPr="00B70644" w:rsidRDefault="00B70644">
      <w:pPr>
        <w:spacing w:before="240"/>
        <w:rPr>
          <w:color w:val="0A0F0A"/>
          <w:highlight w:val="white"/>
          <w:lang w:val="en-US"/>
        </w:rPr>
      </w:pPr>
      <w:r w:rsidRPr="00B70644">
        <w:rPr>
          <w:color w:val="0A0F0A"/>
          <w:highlight w:val="white"/>
          <w:lang w:val="en-US"/>
        </w:rPr>
        <w:t>Würzburg, 26.03.2026</w:t>
      </w:r>
      <w:r w:rsidRPr="00B70644">
        <w:rPr>
          <w:color w:val="0A0F0A"/>
          <w:highlight w:val="white"/>
          <w:lang w:val="en-US"/>
        </w:rPr>
        <w:br/>
        <w:t>In the 2025 financial year, Koenig &amp; Bauer AG increased</w:t>
      </w:r>
      <w:r w:rsidRPr="00B70644">
        <w:rPr>
          <w:color w:val="0A0F0A"/>
          <w:highlight w:val="white"/>
          <w:lang w:val="en-US"/>
        </w:rPr>
        <w:t xml:space="preserve"> revenue and operating profitability and achieved its set targets for the year despite trade policy uncertainties, geopolitical crises and an overall volatile market environment. The year under review was characterised by the consistent implementation of t</w:t>
      </w:r>
      <w:r w:rsidRPr="00B70644">
        <w:rPr>
          <w:color w:val="0A0F0A"/>
          <w:highlight w:val="white"/>
          <w:lang w:val="en-US"/>
        </w:rPr>
        <w:t>he Group focus and the strategic realignment driven by the strategic framework "IMPACT" adopted at the end of December.</w:t>
      </w:r>
    </w:p>
    <w:p w:rsidR="00D56456" w:rsidRPr="00B70644" w:rsidRDefault="00B70644">
      <w:pPr>
        <w:spacing w:before="240"/>
        <w:rPr>
          <w:color w:val="0A0F0A"/>
          <w:highlight w:val="white"/>
          <w:lang w:val="en-US"/>
        </w:rPr>
      </w:pPr>
      <w:r w:rsidRPr="00B70644">
        <w:rPr>
          <w:color w:val="0A0F0A"/>
          <w:highlight w:val="white"/>
          <w:lang w:val="en-US"/>
        </w:rPr>
        <w:t>„We are currently experiencing a global industrial and political turning point. The latest developments in the Middle East since the end</w:t>
      </w:r>
      <w:r w:rsidRPr="00B70644">
        <w:rPr>
          <w:color w:val="0A0F0A"/>
          <w:highlight w:val="white"/>
          <w:lang w:val="en-US"/>
        </w:rPr>
        <w:t xml:space="preserve"> of February are a clear reminder that volatility has long since become the ‘new normal’,“ explains Chief Executive Officer Dr Stephen Kimmich. „Stability is no longer a static condition that can be relied on. Rather, high organisational responsiveness is </w:t>
      </w:r>
      <w:r w:rsidRPr="00B70644">
        <w:rPr>
          <w:color w:val="0A0F0A"/>
          <w:highlight w:val="white"/>
          <w:lang w:val="en-US"/>
        </w:rPr>
        <w:t xml:space="preserve">essential. We are proving in this phase how stably Koenig &amp; Bauer is positioned: We address the situation with a solid order backlog of €970.6m, and the experience in flexibly adapting processes to the respective situation. As the new strategic framework, </w:t>
      </w:r>
      <w:r w:rsidRPr="00B70644">
        <w:rPr>
          <w:color w:val="0A0F0A"/>
          <w:highlight w:val="white"/>
          <w:lang w:val="en-US"/>
        </w:rPr>
        <w:t>‘IMPACT’ defines our common direction to actively shape the future of the printing industry and secure operational resilience for the next decade.“</w:t>
      </w:r>
    </w:p>
    <w:p w:rsidR="00D56456" w:rsidRPr="00B70644" w:rsidRDefault="00B70644">
      <w:pPr>
        <w:spacing w:before="240"/>
        <w:rPr>
          <w:sz w:val="22"/>
          <w:szCs w:val="22"/>
          <w:lang w:val="en-US"/>
        </w:rPr>
      </w:pPr>
      <w:r w:rsidRPr="00B70644">
        <w:rPr>
          <w:b/>
          <w:bCs/>
          <w:color w:val="002355"/>
          <w:lang w:val="en-US"/>
        </w:rPr>
        <w:lastRenderedPageBreak/>
        <w:t>2025 financial year: Pinpoint accuracy and positive cash flow development</w:t>
      </w:r>
      <w:r w:rsidRPr="00B70644">
        <w:rPr>
          <w:sz w:val="22"/>
          <w:szCs w:val="22"/>
          <w:lang w:val="en-US"/>
        </w:rPr>
        <w:br/>
      </w:r>
      <w:r w:rsidRPr="00B70644">
        <w:rPr>
          <w:color w:val="0A0F0A"/>
          <w:highlight w:val="white"/>
          <w:lang w:val="en-US"/>
        </w:rPr>
        <w:t>The preliminary business figures h</w:t>
      </w:r>
      <w:r w:rsidRPr="00B70644">
        <w:rPr>
          <w:color w:val="0A0F0A"/>
          <w:highlight w:val="white"/>
          <w:lang w:val="en-US"/>
        </w:rPr>
        <w:t>ave been confirmed: Koenig &amp; Bauer achieved Group revenue of €1,302.4m (previous year: €1,274.4m). Operating profitability improved noticeably: Operating EBIT increased to €36.6m (previous year: €15.3m), which corresponds to an operating EBIT margin of 2.8</w:t>
      </w:r>
      <w:r w:rsidRPr="00B70644">
        <w:rPr>
          <w:color w:val="0A0F0A"/>
          <w:highlight w:val="white"/>
          <w:lang w:val="en-US"/>
        </w:rPr>
        <w:t>%. A major factor in this was the significant reduction in extraordinary items to €5.3m due to the extensive completion of the "Spotlight" focus programme. A strategic focus was the improvement of cash generation: In the final quarter, Koenig &amp; Bauer achie</w:t>
      </w:r>
      <w:r w:rsidRPr="00B70644">
        <w:rPr>
          <w:color w:val="0A0F0A"/>
          <w:highlight w:val="white"/>
          <w:lang w:val="en-US"/>
        </w:rPr>
        <w:t>ved a strong cash inflow of €69.1m, resulting in a positive free cash flow of €7.2m for the year as a whole. Against the backdrop of the persistently challenging market environment, the Executive Board and the Supervisory Board will be proposing that a div</w:t>
      </w:r>
      <w:r w:rsidRPr="00B70644">
        <w:rPr>
          <w:color w:val="0A0F0A"/>
          <w:highlight w:val="white"/>
          <w:lang w:val="en-US"/>
        </w:rPr>
        <w:t>idend be omitted for the 2025 financial year.</w:t>
      </w:r>
    </w:p>
    <w:p w:rsidR="00D56456" w:rsidRPr="00B70644" w:rsidRDefault="00B70644">
      <w:pPr>
        <w:spacing w:before="240"/>
        <w:rPr>
          <w:sz w:val="22"/>
          <w:szCs w:val="22"/>
          <w:lang w:val="en-US"/>
        </w:rPr>
      </w:pPr>
      <w:r w:rsidRPr="00B70644">
        <w:rPr>
          <w:b/>
          <w:bCs/>
          <w:color w:val="002355"/>
          <w:lang w:val="en-US"/>
        </w:rPr>
        <w:t>Resilience and operational turnaround in the segments</w:t>
      </w:r>
      <w:r w:rsidRPr="00B70644">
        <w:rPr>
          <w:sz w:val="22"/>
          <w:szCs w:val="22"/>
          <w:lang w:val="en-US"/>
        </w:rPr>
        <w:t xml:space="preserve"> </w:t>
      </w:r>
      <w:r w:rsidRPr="00B70644">
        <w:rPr>
          <w:sz w:val="22"/>
          <w:szCs w:val="22"/>
          <w:lang w:val="en-US"/>
        </w:rPr>
        <w:br/>
      </w:r>
      <w:r w:rsidRPr="00B70644">
        <w:rPr>
          <w:color w:val="0A0F0A"/>
          <w:highlight w:val="white"/>
          <w:lang w:val="en-US"/>
        </w:rPr>
        <w:t xml:space="preserve">Both segments contributed to profitable growth in the past financial year. The Paper &amp; Packaging Sheetfed Systems (P&amp;P) segment recorded a slight increase </w:t>
      </w:r>
      <w:r w:rsidRPr="00B70644">
        <w:rPr>
          <w:color w:val="0A0F0A"/>
          <w:highlight w:val="white"/>
          <w:lang w:val="en-US"/>
        </w:rPr>
        <w:t xml:space="preserve">in revenue to €741.5m (+0.9%). Operating profitability improved significantly here; operating EBIT increased to €25.0m (previous year: €17.1m). Order intake proved to be extremely stable at €704.0m following the very strong previous year, which was shaped </w:t>
      </w:r>
      <w:r w:rsidRPr="00B70644">
        <w:rPr>
          <w:color w:val="0A0F0A"/>
          <w:highlight w:val="white"/>
          <w:lang w:val="en-US"/>
        </w:rPr>
        <w:t>by the world-leading trade fair drupa. In the Special &amp; New Technologies (S&amp;T) segment, successful further development was achieved with an operational turnaround: Operating EBIT improved significantly to €9.0m (previous year: €-15.4m). Segment revenue gre</w:t>
      </w:r>
      <w:r w:rsidRPr="00B70644">
        <w:rPr>
          <w:color w:val="0A0F0A"/>
          <w:highlight w:val="white"/>
          <w:lang w:val="en-US"/>
        </w:rPr>
        <w:t>w significantly by 6.8% to €596.0m, largely driven by performance progress on banknote projects as well as stable service performance. The expected decline in order intake to €558.4m is primarily attributable to the historically exceptionally high orders f</w:t>
      </w:r>
      <w:r w:rsidRPr="00B70644">
        <w:rPr>
          <w:color w:val="0A0F0A"/>
          <w:highlight w:val="white"/>
          <w:lang w:val="en-US"/>
        </w:rPr>
        <w:t>rom the US federal printing office in the previous year. Special markets and new technologies recorded encouraging dynamism, which confirms the broad positioning of the segment.</w:t>
      </w:r>
    </w:p>
    <w:p w:rsidR="00D56456" w:rsidRPr="00B70644" w:rsidRDefault="00B70644">
      <w:pPr>
        <w:spacing w:before="240"/>
        <w:rPr>
          <w:color w:val="0A0F0A"/>
          <w:highlight w:val="white"/>
          <w:lang w:val="en-US"/>
        </w:rPr>
      </w:pPr>
      <w:r w:rsidRPr="00B70644">
        <w:rPr>
          <w:b/>
          <w:bCs/>
          <w:color w:val="002355"/>
          <w:lang w:val="en-US"/>
        </w:rPr>
        <w:t>Movement as a principle: The new strategic framework "IMPACT"</w:t>
      </w:r>
      <w:r w:rsidRPr="00B70644">
        <w:rPr>
          <w:sz w:val="22"/>
          <w:szCs w:val="22"/>
          <w:lang w:val="en-US"/>
        </w:rPr>
        <w:t xml:space="preserve"> </w:t>
      </w:r>
      <w:r w:rsidRPr="00B70644">
        <w:rPr>
          <w:sz w:val="22"/>
          <w:szCs w:val="22"/>
          <w:lang w:val="en-US"/>
        </w:rPr>
        <w:br/>
      </w:r>
      <w:r w:rsidRPr="00B70644">
        <w:rPr>
          <w:color w:val="0A0F0A"/>
          <w:highlight w:val="white"/>
          <w:lang w:val="en-US"/>
        </w:rPr>
        <w:t>The "IMPACT" fr</w:t>
      </w:r>
      <w:r w:rsidRPr="00B70644">
        <w:rPr>
          <w:color w:val="0A0F0A"/>
          <w:highlight w:val="white"/>
          <w:lang w:val="en-US"/>
        </w:rPr>
        <w:t xml:space="preserve">amework adopted at the end of 2025 replaces the previous strategy and aims at the further development from a classic machine manufacturer into an integrated technology provider. Visually and in terms of content, this new beginning is embodied by a sphere. </w:t>
      </w:r>
      <w:r w:rsidRPr="00B70644">
        <w:rPr>
          <w:color w:val="0A0F0A"/>
          <w:highlight w:val="white"/>
          <w:lang w:val="en-US"/>
        </w:rPr>
        <w:t>Koenig &amp; Bauer is not a static but a dynamic company, in which movement is the binding principle: it is found in the cross-section of the precisely rotating printing cylinders just as it is in billions of flying ink droplets in digital printing. A sphere i</w:t>
      </w:r>
      <w:r w:rsidRPr="00B70644">
        <w:rPr>
          <w:color w:val="0A0F0A"/>
          <w:highlight w:val="white"/>
          <w:lang w:val="en-US"/>
        </w:rPr>
        <w:t xml:space="preserve">s never static. It embodies the potential to roll, to absorb forces, and to carry the effect further. Real "IMPACT" only arises through acceleration, contact, and compression. This is exactly how Koenig &amp; Bauer translates this principle into its strategy: </w:t>
      </w:r>
      <w:r w:rsidRPr="00B70644">
        <w:rPr>
          <w:color w:val="0A0F0A"/>
          <w:highlight w:val="white"/>
          <w:lang w:val="en-US"/>
        </w:rPr>
        <w:t>Every decision sets something in motion, every movement follows a clear direction, and every direction generates measurable impact for customers and shareholders.</w:t>
      </w:r>
    </w:p>
    <w:p w:rsidR="00D56456" w:rsidRPr="00B70644" w:rsidRDefault="00B70644">
      <w:pPr>
        <w:spacing w:before="240"/>
        <w:rPr>
          <w:sz w:val="22"/>
          <w:szCs w:val="22"/>
          <w:lang w:val="en-US"/>
        </w:rPr>
      </w:pPr>
      <w:r w:rsidRPr="00B70644">
        <w:rPr>
          <w:color w:val="0A0F0A"/>
          <w:highlight w:val="white"/>
          <w:lang w:val="en-US"/>
        </w:rPr>
        <w:t>The eponymous acronym "IMPACT" stands for the six central fields of action, which are designe</w:t>
      </w:r>
      <w:r w:rsidRPr="00B70644">
        <w:rPr>
          <w:color w:val="0A0F0A"/>
          <w:highlight w:val="white"/>
          <w:lang w:val="en-US"/>
        </w:rPr>
        <w:t>d as an integral system to sustainably strengthen competitiveness:</w:t>
      </w:r>
    </w:p>
    <w:p w:rsidR="00D56456" w:rsidRPr="00B70644" w:rsidRDefault="00B70644">
      <w:pPr>
        <w:numPr>
          <w:ilvl w:val="0"/>
          <w:numId w:val="1"/>
        </w:numPr>
        <w:spacing w:before="240" w:after="0"/>
        <w:rPr>
          <w:lang w:val="en-US"/>
        </w:rPr>
      </w:pPr>
      <w:r w:rsidRPr="00B70644">
        <w:rPr>
          <w:b/>
          <w:bCs/>
          <w:lang w:val="en-US"/>
        </w:rPr>
        <w:t>Intelligence:</w:t>
      </w:r>
      <w:r w:rsidRPr="00B70644">
        <w:rPr>
          <w:lang w:val="en-US"/>
        </w:rPr>
        <w:t xml:space="preserve"> We are establishing artificial intelligence in all business areas – from the workplace to the machine in software and automation.</w:t>
      </w:r>
    </w:p>
    <w:p w:rsidR="00D56456" w:rsidRPr="00B70644" w:rsidRDefault="00B70644">
      <w:pPr>
        <w:numPr>
          <w:ilvl w:val="0"/>
          <w:numId w:val="1"/>
        </w:numPr>
        <w:spacing w:after="0"/>
        <w:rPr>
          <w:lang w:val="en-US"/>
        </w:rPr>
      </w:pPr>
      <w:r w:rsidRPr="00B70644">
        <w:rPr>
          <w:b/>
          <w:bCs/>
          <w:lang w:val="en-US"/>
        </w:rPr>
        <w:t>Go-to-Market:</w:t>
      </w:r>
      <w:r w:rsidRPr="00B70644">
        <w:rPr>
          <w:lang w:val="en-US"/>
        </w:rPr>
        <w:t xml:space="preserve"> We are focusing on scaling our </w:t>
      </w:r>
      <w:r w:rsidRPr="00B70644">
        <w:rPr>
          <w:lang w:val="en-US"/>
        </w:rPr>
        <w:t>existing portfolio and systematically opening up growth markets such as Asia, LATAM, India, MEA and China with customised solutions.</w:t>
      </w:r>
    </w:p>
    <w:p w:rsidR="00D56456" w:rsidRPr="00B70644" w:rsidRDefault="00B70644">
      <w:pPr>
        <w:numPr>
          <w:ilvl w:val="0"/>
          <w:numId w:val="1"/>
        </w:numPr>
        <w:spacing w:after="0"/>
        <w:rPr>
          <w:lang w:val="en-US"/>
        </w:rPr>
      </w:pPr>
      <w:r w:rsidRPr="00B70644">
        <w:rPr>
          <w:b/>
          <w:bCs/>
          <w:lang w:val="en-US"/>
        </w:rPr>
        <w:t>People:</w:t>
      </w:r>
      <w:r w:rsidRPr="00B70644">
        <w:rPr>
          <w:lang w:val="en-US"/>
        </w:rPr>
        <w:t xml:space="preserve"> We are investing in our worldwide teams, promoting further training and strengthening our local organisations as th</w:t>
      </w:r>
      <w:r w:rsidRPr="00B70644">
        <w:rPr>
          <w:lang w:val="en-US"/>
        </w:rPr>
        <w:t>e face to the customer.</w:t>
      </w:r>
    </w:p>
    <w:p w:rsidR="00D56456" w:rsidRPr="00B70644" w:rsidRDefault="00B70644">
      <w:pPr>
        <w:numPr>
          <w:ilvl w:val="0"/>
          <w:numId w:val="1"/>
        </w:numPr>
        <w:spacing w:after="0"/>
        <w:rPr>
          <w:lang w:val="en-US"/>
        </w:rPr>
      </w:pPr>
      <w:r w:rsidRPr="00B70644">
        <w:rPr>
          <w:b/>
          <w:bCs/>
          <w:lang w:val="en-US"/>
        </w:rPr>
        <w:t>Adaptability:</w:t>
      </w:r>
      <w:r w:rsidRPr="00B70644">
        <w:rPr>
          <w:lang w:val="en-US"/>
        </w:rPr>
        <w:t xml:space="preserve"> We are reducing dependencies and increasing our adaptability to volatile global markets, including through the expansion of recurring revenues and making our structures more flexible.</w:t>
      </w:r>
    </w:p>
    <w:p w:rsidR="00D56456" w:rsidRPr="00B70644" w:rsidRDefault="00B70644">
      <w:pPr>
        <w:numPr>
          <w:ilvl w:val="0"/>
          <w:numId w:val="1"/>
        </w:numPr>
        <w:spacing w:after="0"/>
        <w:rPr>
          <w:lang w:val="en-US"/>
        </w:rPr>
      </w:pPr>
      <w:r w:rsidRPr="00B70644">
        <w:rPr>
          <w:b/>
          <w:bCs/>
          <w:lang w:val="en-US"/>
        </w:rPr>
        <w:lastRenderedPageBreak/>
        <w:t>Competitiveness:</w:t>
      </w:r>
      <w:r w:rsidRPr="00B70644">
        <w:rPr>
          <w:lang w:val="en-US"/>
        </w:rPr>
        <w:t xml:space="preserve"> Through leaner pr</w:t>
      </w:r>
      <w:r w:rsidRPr="00B70644">
        <w:rPr>
          <w:lang w:val="en-US"/>
        </w:rPr>
        <w:t>ocesses and optimised manufacturing costs, we are securing our competitiveness – we will also win in highly competitive mid-tech markets.</w:t>
      </w:r>
    </w:p>
    <w:p w:rsidR="00D56456" w:rsidRPr="00B70644" w:rsidRDefault="00B70644">
      <w:pPr>
        <w:numPr>
          <w:ilvl w:val="0"/>
          <w:numId w:val="1"/>
        </w:numPr>
        <w:rPr>
          <w:lang w:val="en-US"/>
        </w:rPr>
      </w:pPr>
      <w:r w:rsidRPr="00B70644">
        <w:rPr>
          <w:b/>
          <w:bCs/>
          <w:lang w:val="en-US"/>
        </w:rPr>
        <w:t>Technology:</w:t>
      </w:r>
      <w:r w:rsidRPr="00B70644">
        <w:rPr>
          <w:lang w:val="en-US"/>
        </w:rPr>
        <w:t xml:space="preserve"> Technological leadership remains our DNA. We impress through innovation in workflow and software solutions</w:t>
      </w:r>
      <w:r w:rsidRPr="00B70644">
        <w:rPr>
          <w:lang w:val="en-US"/>
        </w:rPr>
        <w:t>, in digital printing, in automation, and with the highest productivity and reliability.</w:t>
      </w:r>
    </w:p>
    <w:p w:rsidR="00D56456" w:rsidRPr="00B70644" w:rsidRDefault="00B70644">
      <w:pPr>
        <w:spacing w:before="240"/>
        <w:rPr>
          <w:sz w:val="22"/>
          <w:szCs w:val="22"/>
          <w:lang w:val="en-US"/>
        </w:rPr>
      </w:pPr>
      <w:r w:rsidRPr="00B70644">
        <w:rPr>
          <w:color w:val="0A0F0A"/>
          <w:highlight w:val="white"/>
          <w:lang w:val="en-US"/>
        </w:rPr>
        <w:t>This strategy is driven by the "I ACT" attitude, which translates these strategic thrusts into concrete entrepreneurial action. Based on these fields of action, Koenig &amp; Bauer has set itself a clear strategic target vision up to 2030 and beyond: The compan</w:t>
      </w:r>
      <w:r w:rsidRPr="00B70644">
        <w:rPr>
          <w:color w:val="0A0F0A"/>
          <w:highlight w:val="white"/>
          <w:lang w:val="en-US"/>
        </w:rPr>
        <w:t>y sees a strategic revenue potential of €1.5bn with an operating EBITDA margin of at least 8% (excluding special effects). To support this goal, the Group footprint will be further optimised, which, in addition to the streamlined structure of two segments,</w:t>
      </w:r>
      <w:r w:rsidRPr="00B70644">
        <w:rPr>
          <w:color w:val="0A0F0A"/>
          <w:highlight w:val="white"/>
          <w:lang w:val="en-US"/>
        </w:rPr>
        <w:t xml:space="preserve"> also includes the planned closure of the Albert-Frankenthal GmbH operations.</w:t>
      </w:r>
    </w:p>
    <w:p w:rsidR="00D56456" w:rsidRPr="00B70644" w:rsidRDefault="00B70644">
      <w:pPr>
        <w:spacing w:before="240"/>
        <w:rPr>
          <w:color w:val="0A0F0A"/>
          <w:highlight w:val="white"/>
          <w:lang w:val="en-US"/>
        </w:rPr>
      </w:pPr>
      <w:r w:rsidRPr="00B70644">
        <w:rPr>
          <w:b/>
          <w:bCs/>
          <w:color w:val="002355"/>
          <w:lang w:val="en-US"/>
        </w:rPr>
        <w:t>Outlook for 2026: Stable business performance and shift in guidance</w:t>
      </w:r>
      <w:r w:rsidRPr="00B70644">
        <w:rPr>
          <w:sz w:val="22"/>
          <w:szCs w:val="22"/>
          <w:lang w:val="en-US"/>
        </w:rPr>
        <w:br/>
      </w:r>
      <w:r w:rsidRPr="00B70644">
        <w:rPr>
          <w:color w:val="0A0F0A"/>
          <w:highlight w:val="white"/>
          <w:lang w:val="en-US"/>
        </w:rPr>
        <w:t>Koenig &amp; Bauer expects a continuation of operational stability for the 2026 financial year. At the beginning o</w:t>
      </w:r>
      <w:r w:rsidRPr="00B70644">
        <w:rPr>
          <w:color w:val="0A0F0A"/>
          <w:highlight w:val="white"/>
          <w:lang w:val="en-US"/>
        </w:rPr>
        <w:t>f the year 2026, the guidance was shifted from operating EBIT to operating EBITDA.</w:t>
      </w:r>
    </w:p>
    <w:p w:rsidR="00D56456" w:rsidRPr="00B70644" w:rsidRDefault="00B70644">
      <w:pPr>
        <w:spacing w:before="240"/>
        <w:rPr>
          <w:color w:val="0A0F0A"/>
          <w:highlight w:val="white"/>
          <w:lang w:val="en-US"/>
        </w:rPr>
      </w:pPr>
      <w:r w:rsidRPr="00B70644">
        <w:rPr>
          <w:color w:val="0A0F0A"/>
          <w:highlight w:val="white"/>
          <w:lang w:val="en-US"/>
        </w:rPr>
        <w:t>"We achieved a further successful increase in profitability in 2025," emphasises Dr Alexander Blum, CFO of Koenig &amp; Bauer. "At the same time, the positive start to the year underlines our high level of robustness: A solid order backlog paired with good ord</w:t>
      </w:r>
      <w:r w:rsidRPr="00B70644">
        <w:rPr>
          <w:color w:val="0A0F0A"/>
          <w:highlight w:val="white"/>
          <w:lang w:val="en-US"/>
        </w:rPr>
        <w:t>er intake in the first quarter of 2026, which is above the previous year's level, secures our target achievement for the current financial year."</w:t>
      </w:r>
    </w:p>
    <w:p w:rsidR="00D56456" w:rsidRPr="00B70644" w:rsidRDefault="00B70644">
      <w:pPr>
        <w:spacing w:before="240"/>
        <w:rPr>
          <w:lang w:val="en-US"/>
        </w:rPr>
      </w:pPr>
      <w:r w:rsidRPr="00B70644">
        <w:rPr>
          <w:color w:val="0A0F0A"/>
          <w:highlight w:val="white"/>
          <w:lang w:val="en-US"/>
        </w:rPr>
        <w:t>Assuming that global economic developments in the relevant markets remain stable and that prompt clarity on US</w:t>
      </w:r>
      <w:r w:rsidRPr="00B70644">
        <w:rPr>
          <w:color w:val="0A0F0A"/>
          <w:highlight w:val="white"/>
          <w:lang w:val="en-US"/>
        </w:rPr>
        <w:t xml:space="preserve"> import tariffs is reached, the Executive Board forecasts Group revenue at the previous year's level as well as an operating EBITDA of approximately €80m for 2026, consistent with the previous year. The forecast is supported by stable revenue and a slightl</w:t>
      </w:r>
      <w:r w:rsidRPr="00B70644">
        <w:rPr>
          <w:color w:val="0A0F0A"/>
          <w:highlight w:val="white"/>
          <w:lang w:val="en-US"/>
        </w:rPr>
        <w:t>y reduced operating EBITDA in the P&amp;P segment. For the S&amp;T segment, a significantly higher contribution to revenue and earnings is expected, with profitability supported by progressive scaling in new business areas and stable capacity utilisation in securi</w:t>
      </w:r>
      <w:r w:rsidRPr="00B70644">
        <w:rPr>
          <w:color w:val="0A0F0A"/>
          <w:highlight w:val="white"/>
          <w:lang w:val="en-US"/>
        </w:rPr>
        <w:t>ty printing. The forecast is subject to the proviso that there is no further significant clouding of the global investment climate due to persistent geopolitical tensions.</w:t>
      </w:r>
    </w:p>
    <w:p w:rsidR="00D56456" w:rsidRPr="00B70644" w:rsidRDefault="00D56456">
      <w:pPr>
        <w:rPr>
          <w:lang w:val="en-US"/>
        </w:rPr>
      </w:pPr>
    </w:p>
    <w:p w:rsidR="00D56456" w:rsidRPr="00B70644" w:rsidRDefault="00B70644">
      <w:pPr>
        <w:rPr>
          <w:lang w:val="en-US"/>
        </w:rPr>
      </w:pPr>
      <w:hyperlink r:id="rId7" w:history="1">
        <w:r w:rsidRPr="00B70644">
          <w:rPr>
            <w:rStyle w:val="Hyperlink"/>
            <w:lang w:val="en-US"/>
          </w:rPr>
          <w:t>Figures at a</w:t>
        </w:r>
        <w:r w:rsidRPr="00B70644">
          <w:rPr>
            <w:rStyle w:val="Hyperlink"/>
            <w:lang w:val="en-US"/>
          </w:rPr>
          <w:t xml:space="preserve"> </w:t>
        </w:r>
        <w:r w:rsidRPr="00B70644">
          <w:rPr>
            <w:rStyle w:val="Hyperlink"/>
            <w:lang w:val="en-US"/>
          </w:rPr>
          <w:t>glance</w:t>
        </w:r>
      </w:hyperlink>
    </w:p>
    <w:p w:rsidR="00D56456" w:rsidRPr="00B70644" w:rsidRDefault="00B70644">
      <w:pPr>
        <w:rPr>
          <w:lang w:val="en-US"/>
        </w:rPr>
      </w:pPr>
      <w:r w:rsidRPr="00B70644">
        <w:rPr>
          <w:lang w:val="en-US"/>
        </w:rPr>
        <w:t xml:space="preserve">The Annual Report 2025 is available as a PDF download </w:t>
      </w:r>
      <w:hyperlink r:id="rId8" w:history="1">
        <w:r w:rsidRPr="00B70644">
          <w:rPr>
            <w:rStyle w:val="Hyperlink"/>
            <w:lang w:val="en-US"/>
          </w:rPr>
          <w:t>he</w:t>
        </w:r>
        <w:bookmarkStart w:id="3" w:name="_GoBack"/>
        <w:bookmarkEnd w:id="3"/>
        <w:r w:rsidRPr="00B70644">
          <w:rPr>
            <w:rStyle w:val="Hyperlink"/>
            <w:lang w:val="en-US"/>
          </w:rPr>
          <w:t>r</w:t>
        </w:r>
        <w:r w:rsidRPr="00B70644">
          <w:rPr>
            <w:rStyle w:val="Hyperlink"/>
            <w:lang w:val="en-US"/>
          </w:rPr>
          <w:t>e</w:t>
        </w:r>
      </w:hyperlink>
      <w:r w:rsidRPr="00B70644">
        <w:rPr>
          <w:lang w:val="en-US"/>
        </w:rPr>
        <w:t>.</w:t>
      </w:r>
    </w:p>
    <w:p w:rsidR="00D56456" w:rsidRPr="00B70644" w:rsidRDefault="00B70644">
      <w:pPr>
        <w:pStyle w:val="berschrift5"/>
        <w:rPr>
          <w:lang w:val="en-US"/>
        </w:rPr>
      </w:pPr>
      <w:bookmarkStart w:id="4" w:name="_2et92p0" w:colFirst="0" w:colLast="0"/>
      <w:bookmarkEnd w:id="4"/>
      <w:r w:rsidRPr="00B70644">
        <w:rPr>
          <w:lang w:val="en-US"/>
        </w:rPr>
        <w:t>Pho</w:t>
      </w:r>
      <w:r w:rsidRPr="00B70644">
        <w:rPr>
          <w:lang w:val="en-US"/>
        </w:rPr>
        <w:t>to:</w:t>
      </w:r>
    </w:p>
    <w:p w:rsidR="00D56456" w:rsidRDefault="00B70644">
      <w:pPr>
        <w:rPr>
          <w:sz w:val="22"/>
          <w:szCs w:val="22"/>
        </w:rPr>
      </w:pPr>
      <w:r w:rsidRPr="00B70644">
        <w:rPr>
          <w:b/>
          <w:bCs/>
          <w:lang w:val="en-US"/>
        </w:rPr>
        <w:t xml:space="preserve">Setting the mark with "IMPACT": </w:t>
      </w:r>
      <w:r w:rsidRPr="00B70644">
        <w:rPr>
          <w:lang w:val="en-US"/>
        </w:rPr>
        <w:t>Koenig &amp; Bauer publishes its annual figures in its proven, modular format. This year, the holistic concept comprising a detailed annual report, a digital version and a compact summary in specially produced packaging plac</w:t>
      </w:r>
      <w:r w:rsidRPr="00B70644">
        <w:rPr>
          <w:lang w:val="en-US"/>
        </w:rPr>
        <w:t>es the focus on the new "IMPACT" strategic framework. The sphere embodies the binding principle of the Group: Koenig &amp; Bauer is never static, but always in motion. The sphere embodies the potential to absorb forces, translate them into dynamics, and thus g</w:t>
      </w:r>
      <w:r w:rsidRPr="00B70644">
        <w:rPr>
          <w:lang w:val="en-US"/>
        </w:rPr>
        <w:t>enerate real, measurable 'IMPACT' for customers and shareholders.</w:t>
      </w:r>
      <w:r w:rsidRPr="00B70644">
        <w:rPr>
          <w:lang w:val="en-US"/>
        </w:rPr>
        <w:br/>
      </w:r>
      <w:r>
        <w:t>© Koenig &amp; Bauer</w:t>
      </w:r>
      <w:r>
        <w:br/>
      </w:r>
    </w:p>
    <w:p w:rsidR="00D56456" w:rsidRDefault="00B70644">
      <w:pPr>
        <w:pStyle w:val="berschrift4"/>
      </w:pPr>
      <w:bookmarkStart w:id="5" w:name="_c398knssqtt8" w:colFirst="0" w:colLast="0"/>
      <w:bookmarkEnd w:id="5"/>
      <w:r>
        <w:t>Investor relations contact</w:t>
      </w:r>
    </w:p>
    <w:p w:rsidR="00D56456" w:rsidRDefault="00B70644">
      <w:r>
        <w:t>Koenig &amp; Bauer AG</w:t>
      </w:r>
      <w:r>
        <w:br/>
        <w:t>Lena Landenberger</w:t>
      </w:r>
      <w:r>
        <w:br/>
        <w:t>+49 931 909 4085</w:t>
      </w:r>
      <w:r>
        <w:br/>
      </w:r>
      <w:hyperlink r:id="rId9">
        <w:r>
          <w:rPr>
            <w:color w:val="1155CC"/>
            <w:u w:val="single"/>
          </w:rPr>
          <w:t>lena.landenberger@koenig-bauer.</w:t>
        </w:r>
        <w:r>
          <w:rPr>
            <w:color w:val="1155CC"/>
            <w:u w:val="single"/>
          </w:rPr>
          <w:t>com</w:t>
        </w:r>
      </w:hyperlink>
    </w:p>
    <w:p w:rsidR="00D56456" w:rsidRPr="00B70644" w:rsidRDefault="00B70644">
      <w:pPr>
        <w:pStyle w:val="berschrift4"/>
        <w:rPr>
          <w:lang w:val="en-US"/>
        </w:rPr>
      </w:pPr>
      <w:bookmarkStart w:id="6" w:name="_9rn9atyzc5pa" w:colFirst="0" w:colLast="0"/>
      <w:bookmarkEnd w:id="6"/>
      <w:r w:rsidRPr="00B70644">
        <w:rPr>
          <w:lang w:val="en-US"/>
        </w:rPr>
        <w:t>Contact person for the press</w:t>
      </w:r>
    </w:p>
    <w:p w:rsidR="00D56456" w:rsidRPr="00B70644" w:rsidRDefault="00B70644">
      <w:pPr>
        <w:rPr>
          <w:lang w:val="en-US"/>
        </w:rPr>
      </w:pPr>
      <w:r w:rsidRPr="00B70644">
        <w:rPr>
          <w:lang w:val="en-US"/>
        </w:rPr>
        <w:t>Koenig &amp; Bauer AG</w:t>
      </w:r>
      <w:r w:rsidRPr="00B70644">
        <w:rPr>
          <w:lang w:val="en-US"/>
        </w:rPr>
        <w:br/>
        <w:t>Dagmar Ringel</w:t>
      </w:r>
      <w:r w:rsidRPr="00B70644">
        <w:rPr>
          <w:lang w:val="en-US"/>
        </w:rPr>
        <w:br/>
        <w:t>+49 931 909 6756</w:t>
      </w:r>
      <w:r w:rsidRPr="00B70644">
        <w:rPr>
          <w:lang w:val="en-US"/>
        </w:rPr>
        <w:br/>
      </w:r>
      <w:hyperlink r:id="rId10">
        <w:r w:rsidRPr="00B70644">
          <w:rPr>
            <w:color w:val="1155CC"/>
            <w:u w:val="single"/>
            <w:lang w:val="en-US"/>
          </w:rPr>
          <w:t>dagmar.ringel@koenig-bauer.com</w:t>
        </w:r>
      </w:hyperlink>
    </w:p>
    <w:p w:rsidR="00D56456" w:rsidRPr="00B70644" w:rsidRDefault="00B70644">
      <w:pPr>
        <w:shd w:val="clear" w:color="auto" w:fill="FFFFFF"/>
        <w:spacing w:before="240" w:line="250" w:lineRule="auto"/>
        <w:rPr>
          <w:lang w:val="en-US"/>
        </w:rPr>
      </w:pPr>
      <w:r w:rsidRPr="00B70644">
        <w:rPr>
          <w:lang w:val="en-US"/>
        </w:rPr>
        <w:t xml:space="preserve"> </w:t>
      </w:r>
    </w:p>
    <w:p w:rsidR="00D56456" w:rsidRPr="00B70644" w:rsidRDefault="00B70644">
      <w:pPr>
        <w:pStyle w:val="berschrift4"/>
        <w:rPr>
          <w:b w:val="0"/>
          <w:bCs w:val="0"/>
          <w:lang w:val="en-US"/>
        </w:rPr>
      </w:pPr>
      <w:bookmarkStart w:id="7" w:name="_1wxqedid8pv3" w:colFirst="0" w:colLast="0"/>
      <w:bookmarkEnd w:id="7"/>
      <w:r w:rsidRPr="00B70644">
        <w:rPr>
          <w:lang w:val="en-US"/>
        </w:rPr>
        <w:t>About Koenig &amp; Bauer</w:t>
      </w:r>
      <w:r w:rsidRPr="00B70644">
        <w:rPr>
          <w:lang w:val="en-US"/>
        </w:rPr>
        <w:br/>
      </w:r>
      <w:r w:rsidRPr="00B70644">
        <w:rPr>
          <w:b w:val="0"/>
          <w:bCs w:val="0"/>
          <w:lang w:val="en-US"/>
        </w:rPr>
        <w:t>Based in Würzburg (Germany), Koenig &amp; Bauer is a global pri</w:t>
      </w:r>
      <w:r w:rsidRPr="00B70644">
        <w:rPr>
          <w:b w:val="0"/>
          <w:bCs w:val="0"/>
          <w:lang w:val="en-US"/>
        </w:rPr>
        <w:t>nting press manufacturer. It produces presses and software solutions for the entire printing and finishing process, primarily in the area of packaging. Koenig &amp; Bauer systems can print almost all substrates, including banknotes, cardboard, corrugated cardb</w:t>
      </w:r>
      <w:r w:rsidRPr="00B70644">
        <w:rPr>
          <w:b w:val="0"/>
          <w:bCs w:val="0"/>
          <w:lang w:val="en-US"/>
        </w:rPr>
        <w:t>oard, foil, tin and glass packaging, books, displays, labelling, decors, magazines, advertising and newsprint. With a history spanning more than 200 years, Koenig &amp; Bauer is the world’s oldest printing press manufacturer and today masters almost all printi</w:t>
      </w:r>
      <w:r w:rsidRPr="00B70644">
        <w:rPr>
          <w:b w:val="0"/>
          <w:bCs w:val="0"/>
          <w:lang w:val="en-US"/>
        </w:rPr>
        <w:t>ng processes. Around 5,500 people work across the Group. Koenig &amp; Bauer produces at eleven locations in Europe and maintains a worldwide sales and service network. It reported Group revenue of roughly €1.3bn in 2025.</w:t>
      </w:r>
    </w:p>
    <w:p w:rsidR="00D56456" w:rsidRPr="00B70644" w:rsidRDefault="00B70644">
      <w:pPr>
        <w:spacing w:before="240"/>
        <w:rPr>
          <w:color w:val="1155CC"/>
          <w:u w:val="single"/>
          <w:lang w:val="en-US"/>
        </w:rPr>
      </w:pPr>
      <w:r w:rsidRPr="00B70644">
        <w:rPr>
          <w:lang w:val="en-US"/>
        </w:rPr>
        <w:t>For more information, visit</w:t>
      </w:r>
      <w:hyperlink r:id="rId11">
        <w:r w:rsidRPr="00B70644">
          <w:rPr>
            <w:color w:val="1155CC"/>
            <w:lang w:val="en-US"/>
          </w:rPr>
          <w:t xml:space="preserve"> </w:t>
        </w:r>
      </w:hyperlink>
      <w:hyperlink r:id="rId12">
        <w:r w:rsidRPr="00B70644">
          <w:rPr>
            <w:color w:val="1155CC"/>
            <w:u w:val="single"/>
            <w:lang w:val="en-US"/>
          </w:rPr>
          <w:t>www.koenig-bauer.com</w:t>
        </w:r>
      </w:hyperlink>
    </w:p>
    <w:p w:rsidR="00D56456" w:rsidRPr="00B70644" w:rsidRDefault="00D56456">
      <w:pPr>
        <w:rPr>
          <w:lang w:val="en-US"/>
        </w:rPr>
      </w:pPr>
    </w:p>
    <w:p w:rsidR="00D56456" w:rsidRPr="00B70644" w:rsidRDefault="00D56456">
      <w:pPr>
        <w:rPr>
          <w:lang w:val="en-US"/>
        </w:rPr>
      </w:pPr>
    </w:p>
    <w:sectPr w:rsidR="00D56456" w:rsidRPr="00B70644">
      <w:headerReference w:type="default" r:id="rId13"/>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B70644">
      <w:pPr>
        <w:spacing w:after="0" w:line="240" w:lineRule="auto"/>
      </w:pPr>
      <w:r>
        <w:separator/>
      </w:r>
    </w:p>
  </w:endnote>
  <w:endnote w:type="continuationSeparator" w:id="0">
    <w:p w:rsidR="00000000" w:rsidRDefault="00B7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C9ECADB2-709A-4DE5-A85D-12937045A3F9}"/>
  </w:font>
  <w:font w:name="Cambria">
    <w:panose1 w:val="02040503050406030204"/>
    <w:charset w:val="00"/>
    <w:family w:val="roman"/>
    <w:pitch w:val="variable"/>
    <w:sig w:usb0="E00006FF" w:usb1="420024FF" w:usb2="02000000" w:usb3="00000000" w:csb0="0000019F" w:csb1="00000000"/>
    <w:embedRegular r:id="rId2" w:fontKey="{0427D60E-3F38-4381-8111-2EB906DC2EEB}"/>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456" w:rsidRPr="00B70644" w:rsidRDefault="00B70644">
    <w:pPr>
      <w:jc w:val="right"/>
      <w:rPr>
        <w:sz w:val="14"/>
        <w:szCs w:val="14"/>
        <w:lang w:val="en-US"/>
      </w:rPr>
    </w:pPr>
    <w:r w:rsidRPr="00B70644">
      <w:rPr>
        <w:sz w:val="14"/>
        <w:szCs w:val="14"/>
        <w:lang w:val="en-US"/>
      </w:rPr>
      <w:t xml:space="preserve">Pinpoint accuracy in 2025 and a strong start to 2026: Koenig &amp; Bauer achieves annual targets, </w:t>
    </w:r>
    <w:r w:rsidRPr="00B70644">
      <w:rPr>
        <w:sz w:val="14"/>
        <w:szCs w:val="14"/>
        <w:lang w:val="en-US"/>
      </w:rPr>
      <w:br/>
      <w:t>increases order intake in the first quarter and enters a new era with "IMPACT"</w:t>
    </w:r>
  </w:p>
  <w:p w:rsidR="00D56456" w:rsidRDefault="00B70644">
    <w:pPr>
      <w:jc w:val="right"/>
    </w:pPr>
    <w:r w:rsidRPr="00B70644">
      <w:rPr>
        <w:sz w:val="14"/>
        <w:szCs w:val="14"/>
        <w:lang w:val="en-US"/>
      </w:rPr>
      <w:t xml:space="preserve"> </w:t>
    </w:r>
    <w:r>
      <w:rPr>
        <w:sz w:val="14"/>
        <w:szCs w:val="14"/>
      </w:rPr>
      <w:t xml:space="preserve">| </w:t>
    </w:r>
    <w:r>
      <w:rPr>
        <w:sz w:val="14"/>
        <w:szCs w:val="14"/>
      </w:rPr>
      <w:fldChar w:fldCharType="begin"/>
    </w:r>
    <w:r>
      <w:rPr>
        <w:sz w:val="14"/>
        <w:szCs w:val="14"/>
      </w:rPr>
      <w:instrText>PAGE</w:instrText>
    </w:r>
    <w:r>
      <w:rPr>
        <w:sz w:val="14"/>
        <w:szCs w:val="14"/>
      </w:rPr>
      <w:fldChar w:fldCharType="separate"/>
    </w:r>
    <w:r>
      <w:rPr>
        <w:noProof/>
        <w:sz w:val="14"/>
        <w:szCs w:val="14"/>
      </w:rPr>
      <w:t>4</w:t>
    </w:r>
    <w:r>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B70644">
      <w:pPr>
        <w:spacing w:after="0" w:line="240" w:lineRule="auto"/>
      </w:pPr>
      <w:r>
        <w:separator/>
      </w:r>
    </w:p>
  </w:footnote>
  <w:footnote w:type="continuationSeparator" w:id="0">
    <w:p w:rsidR="00000000" w:rsidRDefault="00B7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456" w:rsidRDefault="00B70644">
    <w:pPr>
      <w:jc w:val="center"/>
    </w:pPr>
    <w:r>
      <w:rPr>
        <w:noProof/>
        <w:lang w:val="de-DE"/>
      </w:rPr>
      <w:drawing>
        <wp:inline distT="114300" distB="114300" distL="114300" distR="114300">
          <wp:extent cx="2592000" cy="218469"/>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592000" cy="21846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C5055D"/>
    <w:multiLevelType w:val="multilevel"/>
    <w:tmpl w:val="E1FE6F22"/>
    <w:lvl w:ilvl="0">
      <w:start w:val="1"/>
      <w:numFmt w:val="bullet"/>
      <w:lvlText w:val="•"/>
      <w:lvlJc w:val="left"/>
      <w:pPr>
        <w:ind w:left="340" w:hanging="340"/>
      </w:pPr>
      <w:rPr>
        <w:u w:val="none"/>
      </w:rPr>
    </w:lvl>
    <w:lvl w:ilvl="1">
      <w:start w:val="1"/>
      <w:numFmt w:val="bullet"/>
      <w:lvlText w:val="•"/>
      <w:lvlJc w:val="left"/>
      <w:pPr>
        <w:ind w:left="680" w:hanging="340"/>
      </w:pPr>
      <w:rPr>
        <w:u w:val="none"/>
      </w:rPr>
    </w:lvl>
    <w:lvl w:ilvl="2">
      <w:start w:val="1"/>
      <w:numFmt w:val="bullet"/>
      <w:lvlText w:val="•"/>
      <w:lvlJc w:val="left"/>
      <w:pPr>
        <w:ind w:left="1020" w:hanging="340"/>
      </w:pPr>
      <w:rPr>
        <w:u w:val="none"/>
      </w:rPr>
    </w:lvl>
    <w:lvl w:ilvl="3">
      <w:start w:val="1"/>
      <w:numFmt w:val="bullet"/>
      <w:lvlText w:val="•"/>
      <w:lvlJc w:val="left"/>
      <w:pPr>
        <w:ind w:left="1360" w:hanging="340"/>
      </w:pPr>
      <w:rPr>
        <w:u w:val="none"/>
      </w:rPr>
    </w:lvl>
    <w:lvl w:ilvl="4">
      <w:start w:val="1"/>
      <w:numFmt w:val="bullet"/>
      <w:lvlText w:val="•"/>
      <w:lvlJc w:val="left"/>
      <w:pPr>
        <w:ind w:left="1700" w:hanging="340"/>
      </w:pPr>
      <w:rPr>
        <w:u w:val="none"/>
      </w:rPr>
    </w:lvl>
    <w:lvl w:ilvl="5">
      <w:start w:val="1"/>
      <w:numFmt w:val="bullet"/>
      <w:lvlText w:val="•"/>
      <w:lvlJc w:val="left"/>
      <w:pPr>
        <w:ind w:left="2040" w:hanging="340"/>
      </w:pPr>
      <w:rPr>
        <w:u w:val="none"/>
      </w:rPr>
    </w:lvl>
    <w:lvl w:ilvl="6">
      <w:start w:val="1"/>
      <w:numFmt w:val="bullet"/>
      <w:lvlText w:val="•"/>
      <w:lvlJc w:val="left"/>
      <w:pPr>
        <w:ind w:left="2380" w:hanging="340"/>
      </w:pPr>
      <w:rPr>
        <w:u w:val="none"/>
      </w:rPr>
    </w:lvl>
    <w:lvl w:ilvl="7">
      <w:start w:val="1"/>
      <w:numFmt w:val="bullet"/>
      <w:lvlText w:val="•"/>
      <w:lvlJc w:val="left"/>
      <w:pPr>
        <w:ind w:left="2720" w:hanging="340"/>
      </w:pPr>
      <w:rPr>
        <w:u w:val="none"/>
      </w:rPr>
    </w:lvl>
    <w:lvl w:ilvl="8">
      <w:start w:val="1"/>
      <w:numFmt w:val="bullet"/>
      <w:lvlText w:val="•"/>
      <w:lvlJc w:val="left"/>
      <w:pPr>
        <w:ind w:left="3060" w:hanging="340"/>
      </w:pPr>
      <w:rPr>
        <w:u w:val="none"/>
      </w:rPr>
    </w:lvl>
  </w:abstractNum>
  <w:abstractNum w:abstractNumId="1" w15:restartNumberingAfterBreak="0">
    <w:nsid w:val="7D2E1752"/>
    <w:multiLevelType w:val="multilevel"/>
    <w:tmpl w:val="A86E31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456"/>
    <w:rsid w:val="00B70644"/>
    <w:rsid w:val="00D564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975AF1-A527-4838-9A19-93B4F9D49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de" w:eastAsia="de-DE" w:bidi="ar-SA"/>
      </w:rPr>
    </w:rPrDefault>
    <w:pPrDefault>
      <w:pPr>
        <w:spacing w:after="24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style>
  <w:style w:type="paragraph" w:styleId="berschrift1">
    <w:name w:val="heading 1"/>
    <w:basedOn w:val="Standard"/>
    <w:next w:val="Standard"/>
    <w:pPr>
      <w:keepNext/>
      <w:keepLines/>
      <w:tabs>
        <w:tab w:val="left" w:pos="850"/>
      </w:tabs>
      <w:spacing w:before="480" w:line="240" w:lineRule="auto"/>
      <w:outlineLvl w:val="0"/>
    </w:pPr>
    <w:rPr>
      <w:b/>
      <w:bCs/>
      <w:color w:val="002355"/>
      <w:sz w:val="40"/>
      <w:szCs w:val="40"/>
    </w:rPr>
  </w:style>
  <w:style w:type="paragraph" w:styleId="berschrift2">
    <w:name w:val="heading 2"/>
    <w:basedOn w:val="Standard"/>
    <w:next w:val="Standard"/>
    <w:pPr>
      <w:keepNext/>
      <w:keepLines/>
      <w:outlineLvl w:val="1"/>
    </w:pPr>
    <w:rPr>
      <w:b/>
      <w:bCs/>
      <w:color w:val="002355"/>
      <w:sz w:val="28"/>
      <w:szCs w:val="28"/>
    </w:rPr>
  </w:style>
  <w:style w:type="paragraph" w:styleId="berschrift3">
    <w:name w:val="heading 3"/>
    <w:basedOn w:val="Standard"/>
    <w:next w:val="Standard"/>
    <w:pPr>
      <w:keepNext/>
      <w:keepLines/>
      <w:spacing w:after="0"/>
      <w:outlineLvl w:val="2"/>
    </w:pPr>
    <w:rPr>
      <w:b/>
      <w:bCs/>
      <w:color w:val="002355"/>
    </w:rPr>
  </w:style>
  <w:style w:type="paragraph" w:styleId="berschrift4">
    <w:name w:val="heading 4"/>
    <w:basedOn w:val="Standard"/>
    <w:next w:val="Standard"/>
    <w:pPr>
      <w:keepNext/>
      <w:keepLines/>
      <w:spacing w:after="0"/>
      <w:outlineLvl w:val="3"/>
    </w:pPr>
    <w:rPr>
      <w:b/>
      <w:bCs/>
    </w:rPr>
  </w:style>
  <w:style w:type="paragraph" w:styleId="berschrift5">
    <w:name w:val="heading 5"/>
    <w:basedOn w:val="Standard"/>
    <w:next w:val="Standard"/>
    <w:pPr>
      <w:keepNext/>
      <w:keepLines/>
      <w:spacing w:after="0"/>
      <w:outlineLvl w:val="4"/>
    </w:pPr>
    <w:rPr>
      <w:b/>
      <w:bCs/>
    </w:rPr>
  </w:style>
  <w:style w:type="paragraph" w:styleId="berschrift6">
    <w:name w:val="heading 6"/>
    <w:basedOn w:val="Standard"/>
    <w:next w:val="Standard"/>
    <w:pPr>
      <w:keepNext/>
      <w:keepLines/>
      <w:spacing w:before="240" w:after="80"/>
      <w:outlineLvl w:val="5"/>
    </w:pPr>
    <w:rPr>
      <w:i/>
      <w:iCs/>
      <w:color w:val="666666"/>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pPr>
      <w:keepNext/>
      <w:keepLines/>
      <w:spacing w:after="60"/>
    </w:pPr>
    <w:rPr>
      <w:sz w:val="52"/>
      <w:szCs w:val="52"/>
    </w:rPr>
  </w:style>
  <w:style w:type="paragraph" w:styleId="Untertitel">
    <w:name w:val="Subtitle"/>
    <w:basedOn w:val="Standard"/>
    <w:next w:val="Standard"/>
    <w:pPr>
      <w:keepNext/>
      <w:keepLines/>
      <w:spacing w:line="240" w:lineRule="auto"/>
    </w:pPr>
    <w:rPr>
      <w:color w:val="002355"/>
      <w:sz w:val="28"/>
      <w:szCs w:val="28"/>
    </w:rPr>
  </w:style>
  <w:style w:type="character" w:styleId="Hyperlink">
    <w:name w:val="Hyperlink"/>
    <w:basedOn w:val="Absatz-Standardschriftart"/>
    <w:uiPriority w:val="99"/>
    <w:unhideWhenUsed/>
    <w:rsid w:val="00B70644"/>
    <w:rPr>
      <w:color w:val="0000FF" w:themeColor="hyperlink"/>
      <w:u w:val="single"/>
    </w:rPr>
  </w:style>
  <w:style w:type="character" w:styleId="BesuchterLink">
    <w:name w:val="FollowedHyperlink"/>
    <w:basedOn w:val="Absatz-Standardschriftart"/>
    <w:uiPriority w:val="99"/>
    <w:semiHidden/>
    <w:unhideWhenUsed/>
    <w:rsid w:val="00B706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investors.koenig-bauer.com/fileadmin/user_upload/04_Unternehmen/Investor_Relations/Berichte/Berichte_2025_GB/26-03-26-ir-annual-report-2025-en.pd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nvestors.koenig-bauer.com/fileadmin/user_upload/04_Unternehmen/Investor_Relations/Berichte/Berichte_2025_GB/26-03-26-ir-group-key-figures-for-the-2025-financial-year-en.pdf" TargetMode="External"/><Relationship Id="rId12" Type="http://schemas.openxmlformats.org/officeDocument/2006/relationships/hyperlink" Target="http://www.koenig-bauer.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oenig-bauer.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lena.landenberger@koenig-bauer.com" TargetMode="External"/><Relationship Id="rId4" Type="http://schemas.openxmlformats.org/officeDocument/2006/relationships/webSettings" Target="webSettings.xml"/><Relationship Id="rId9" Type="http://schemas.openxmlformats.org/officeDocument/2006/relationships/hyperlink" Target="mailto:lena.landenberger@koenig-bauer.com"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1517</Words>
  <Characters>9562</Characters>
  <Application>Microsoft Office Word</Application>
  <DocSecurity>0</DocSecurity>
  <Lines>79</Lines>
  <Paragraphs>22</Paragraphs>
  <ScaleCrop>false</ScaleCrop>
  <Company>KOENIG &amp; BAUER AG</Company>
  <LinksUpToDate>false</LinksUpToDate>
  <CharactersWithSpaces>11057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Rügamer, René (ZFI)</cp:lastModifiedBy>
  <cp:revision>2</cp:revision>
  <dcterms:created xsi:type="dcterms:W3CDTF">2026-03-25T20:31:00Z</dcterms:created>
  <dcterms:modified xsi:type="dcterms:W3CDTF">2026-03-26T06:11:00Z</dcterms:modified>
</cp:coreProperties>
</file>